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0458F1">
        <w:rPr>
          <w:rFonts w:ascii="Palatino Linotype" w:hAnsi="Palatino Linotype" w:cs="Arial"/>
          <w:b/>
          <w:bCs/>
          <w:sz w:val="23"/>
          <w:szCs w:val="23"/>
        </w:rPr>
        <w:t>687</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E543AE" w:rsidRPr="00E543AE" w:rsidRDefault="00E6179D">
          <w:pPr>
            <w:pStyle w:val="TDC1"/>
            <w:rPr>
              <w:rFonts w:eastAsiaTheme="minorEastAsia"/>
              <w:b w:val="0"/>
              <w:sz w:val="24"/>
              <w:szCs w:val="24"/>
              <w:lang w:eastAsia="es-MX"/>
            </w:rPr>
          </w:pPr>
          <w:r w:rsidRPr="007B0E23">
            <w:rPr>
              <w:sz w:val="24"/>
              <w:szCs w:val="24"/>
            </w:rPr>
            <w:fldChar w:fldCharType="begin"/>
          </w:r>
          <w:r w:rsidRPr="007B0E23">
            <w:rPr>
              <w:sz w:val="24"/>
              <w:szCs w:val="24"/>
            </w:rPr>
            <w:instrText xml:space="preserve"> TOC \o "1-3" \h \z \u </w:instrText>
          </w:r>
          <w:r w:rsidRPr="007B0E23">
            <w:rPr>
              <w:sz w:val="24"/>
              <w:szCs w:val="24"/>
            </w:rPr>
            <w:fldChar w:fldCharType="separate"/>
          </w:r>
          <w:hyperlink w:anchor="_Toc524342049" w:history="1">
            <w:r w:rsidR="00E543AE" w:rsidRPr="00E543AE">
              <w:rPr>
                <w:rStyle w:val="Hipervnculo"/>
                <w:rFonts w:eastAsia="Times New Roman"/>
                <w:sz w:val="24"/>
                <w:szCs w:val="24"/>
              </w:rPr>
              <w:t>I.</w:t>
            </w:r>
            <w:r w:rsidR="00E543AE" w:rsidRPr="00E543AE">
              <w:rPr>
                <w:rFonts w:eastAsiaTheme="minorEastAsia"/>
                <w:b w:val="0"/>
                <w:sz w:val="24"/>
                <w:szCs w:val="24"/>
                <w:lang w:eastAsia="es-MX"/>
              </w:rPr>
              <w:tab/>
            </w:r>
            <w:r w:rsidR="00E543AE" w:rsidRPr="00E543AE">
              <w:rPr>
                <w:rStyle w:val="Hipervnculo"/>
                <w:rFonts w:eastAsia="Times New Roman"/>
                <w:sz w:val="24"/>
                <w:szCs w:val="24"/>
              </w:rPr>
              <w:t>Consideraciones Generales</w:t>
            </w:r>
            <w:r w:rsidR="00E543AE" w:rsidRPr="00E543AE">
              <w:rPr>
                <w:webHidden/>
                <w:sz w:val="24"/>
                <w:szCs w:val="24"/>
              </w:rPr>
              <w:tab/>
            </w:r>
            <w:r w:rsidR="00E543AE" w:rsidRPr="00E543AE">
              <w:rPr>
                <w:webHidden/>
                <w:sz w:val="24"/>
                <w:szCs w:val="24"/>
              </w:rPr>
              <w:fldChar w:fldCharType="begin"/>
            </w:r>
            <w:r w:rsidR="00E543AE" w:rsidRPr="00E543AE">
              <w:rPr>
                <w:webHidden/>
                <w:sz w:val="24"/>
                <w:szCs w:val="24"/>
              </w:rPr>
              <w:instrText xml:space="preserve"> PAGEREF _Toc524342049 \h </w:instrText>
            </w:r>
            <w:r w:rsidR="00E543AE" w:rsidRPr="00E543AE">
              <w:rPr>
                <w:webHidden/>
                <w:sz w:val="24"/>
                <w:szCs w:val="24"/>
              </w:rPr>
            </w:r>
            <w:r w:rsidR="00E543AE" w:rsidRPr="00E543AE">
              <w:rPr>
                <w:webHidden/>
                <w:sz w:val="24"/>
                <w:szCs w:val="24"/>
              </w:rPr>
              <w:fldChar w:fldCharType="separate"/>
            </w:r>
            <w:r w:rsidR="00CF02FE">
              <w:rPr>
                <w:webHidden/>
                <w:sz w:val="24"/>
                <w:szCs w:val="24"/>
              </w:rPr>
              <w:t>1</w:t>
            </w:r>
            <w:r w:rsidR="00E543AE" w:rsidRPr="00E543AE">
              <w:rPr>
                <w:webHidden/>
                <w:sz w:val="24"/>
                <w:szCs w:val="24"/>
              </w:rPr>
              <w:fldChar w:fldCharType="end"/>
            </w:r>
          </w:hyperlink>
        </w:p>
        <w:p w:rsidR="00E543AE" w:rsidRPr="00E543AE" w:rsidRDefault="00FF2C57">
          <w:pPr>
            <w:pStyle w:val="TDC1"/>
            <w:rPr>
              <w:rFonts w:eastAsiaTheme="minorEastAsia"/>
              <w:b w:val="0"/>
              <w:sz w:val="24"/>
              <w:szCs w:val="24"/>
              <w:lang w:eastAsia="es-MX"/>
            </w:rPr>
          </w:pPr>
          <w:hyperlink w:anchor="_Toc524342050" w:history="1">
            <w:r w:rsidR="00E543AE" w:rsidRPr="00E543AE">
              <w:rPr>
                <w:rStyle w:val="Hipervnculo"/>
                <w:rFonts w:eastAsia="Calibri"/>
                <w:sz w:val="24"/>
                <w:szCs w:val="24"/>
                <w:lang w:val="es-ES"/>
              </w:rPr>
              <w:t>II.</w:t>
            </w:r>
            <w:r w:rsidR="00E543AE" w:rsidRPr="00E543AE">
              <w:rPr>
                <w:rFonts w:eastAsiaTheme="minorEastAsia"/>
                <w:b w:val="0"/>
                <w:sz w:val="24"/>
                <w:szCs w:val="24"/>
                <w:lang w:eastAsia="es-MX"/>
              </w:rPr>
              <w:tab/>
            </w:r>
            <w:r w:rsidR="00E543AE" w:rsidRPr="00E543AE">
              <w:rPr>
                <w:rStyle w:val="Hipervnculo"/>
                <w:rFonts w:eastAsia="Calibri"/>
                <w:sz w:val="24"/>
                <w:szCs w:val="24"/>
                <w:lang w:val="es-ES"/>
              </w:rPr>
              <w:t>De los requerimientos planteados en el recurso de revisión.</w:t>
            </w:r>
            <w:r w:rsidR="00E543AE" w:rsidRPr="00E543AE">
              <w:rPr>
                <w:webHidden/>
                <w:sz w:val="24"/>
                <w:szCs w:val="24"/>
              </w:rPr>
              <w:tab/>
            </w:r>
            <w:r w:rsidR="00E543AE" w:rsidRPr="00E543AE">
              <w:rPr>
                <w:webHidden/>
                <w:sz w:val="24"/>
                <w:szCs w:val="24"/>
              </w:rPr>
              <w:fldChar w:fldCharType="begin"/>
            </w:r>
            <w:r w:rsidR="00E543AE" w:rsidRPr="00E543AE">
              <w:rPr>
                <w:webHidden/>
                <w:sz w:val="24"/>
                <w:szCs w:val="24"/>
              </w:rPr>
              <w:instrText xml:space="preserve"> PAGEREF _Toc524342050 \h </w:instrText>
            </w:r>
            <w:r w:rsidR="00E543AE" w:rsidRPr="00E543AE">
              <w:rPr>
                <w:webHidden/>
                <w:sz w:val="24"/>
                <w:szCs w:val="24"/>
              </w:rPr>
            </w:r>
            <w:r w:rsidR="00E543AE" w:rsidRPr="00E543AE">
              <w:rPr>
                <w:webHidden/>
                <w:sz w:val="24"/>
                <w:szCs w:val="24"/>
              </w:rPr>
              <w:fldChar w:fldCharType="separate"/>
            </w:r>
            <w:r w:rsidR="00CF02FE">
              <w:rPr>
                <w:webHidden/>
                <w:sz w:val="24"/>
                <w:szCs w:val="24"/>
              </w:rPr>
              <w:t>2</w:t>
            </w:r>
            <w:r w:rsidR="00E543AE" w:rsidRPr="00E543AE">
              <w:rPr>
                <w:webHidden/>
                <w:sz w:val="24"/>
                <w:szCs w:val="24"/>
              </w:rPr>
              <w:fldChar w:fldCharType="end"/>
            </w:r>
          </w:hyperlink>
        </w:p>
        <w:p w:rsidR="00E543AE" w:rsidRPr="00E543AE" w:rsidRDefault="00FF2C57">
          <w:pPr>
            <w:pStyle w:val="TDC2"/>
            <w:rPr>
              <w:rFonts w:ascii="Palatino Linotype" w:eastAsiaTheme="minorEastAsia" w:hAnsi="Palatino Linotype"/>
              <w:noProof/>
              <w:sz w:val="24"/>
              <w:szCs w:val="24"/>
              <w:lang w:eastAsia="es-MX"/>
            </w:rPr>
          </w:pPr>
          <w:hyperlink w:anchor="_Toc524342051" w:history="1">
            <w:r w:rsidR="00E543AE" w:rsidRPr="00E543AE">
              <w:rPr>
                <w:rStyle w:val="Hipervnculo"/>
                <w:rFonts w:ascii="Palatino Linotype" w:hAnsi="Palatino Linotype"/>
                <w:b/>
                <w:noProof/>
                <w:sz w:val="24"/>
                <w:szCs w:val="24"/>
              </w:rPr>
              <w:t>III. Del Derecho de Acceso a la información pública y el deber de motivar.</w:t>
            </w:r>
            <w:r w:rsidR="00E543AE" w:rsidRPr="00E543AE">
              <w:rPr>
                <w:rFonts w:ascii="Palatino Linotype" w:hAnsi="Palatino Linotype"/>
                <w:noProof/>
                <w:webHidden/>
                <w:sz w:val="24"/>
                <w:szCs w:val="24"/>
              </w:rPr>
              <w:tab/>
            </w:r>
            <w:r w:rsidR="00E543AE" w:rsidRPr="00E543AE">
              <w:rPr>
                <w:rFonts w:ascii="Palatino Linotype" w:hAnsi="Palatino Linotype"/>
                <w:noProof/>
                <w:webHidden/>
                <w:sz w:val="24"/>
                <w:szCs w:val="24"/>
              </w:rPr>
              <w:fldChar w:fldCharType="begin"/>
            </w:r>
            <w:r w:rsidR="00E543AE" w:rsidRPr="00E543AE">
              <w:rPr>
                <w:rFonts w:ascii="Palatino Linotype" w:hAnsi="Palatino Linotype"/>
                <w:noProof/>
                <w:webHidden/>
                <w:sz w:val="24"/>
                <w:szCs w:val="24"/>
              </w:rPr>
              <w:instrText xml:space="preserve"> PAGEREF _Toc524342051 \h </w:instrText>
            </w:r>
            <w:r w:rsidR="00E543AE" w:rsidRPr="00E543AE">
              <w:rPr>
                <w:rFonts w:ascii="Palatino Linotype" w:hAnsi="Palatino Linotype"/>
                <w:noProof/>
                <w:webHidden/>
                <w:sz w:val="24"/>
                <w:szCs w:val="24"/>
              </w:rPr>
            </w:r>
            <w:r w:rsidR="00E543AE" w:rsidRPr="00E543AE">
              <w:rPr>
                <w:rFonts w:ascii="Palatino Linotype" w:hAnsi="Palatino Linotype"/>
                <w:noProof/>
                <w:webHidden/>
                <w:sz w:val="24"/>
                <w:szCs w:val="24"/>
              </w:rPr>
              <w:fldChar w:fldCharType="separate"/>
            </w:r>
            <w:r w:rsidR="00CF02FE">
              <w:rPr>
                <w:rFonts w:ascii="Palatino Linotype" w:hAnsi="Palatino Linotype"/>
                <w:noProof/>
                <w:webHidden/>
                <w:sz w:val="24"/>
                <w:szCs w:val="24"/>
              </w:rPr>
              <w:t>4</w:t>
            </w:r>
            <w:r w:rsidR="00E543AE" w:rsidRPr="00E543AE">
              <w:rPr>
                <w:rFonts w:ascii="Palatino Linotype" w:hAnsi="Palatino Linotype"/>
                <w:noProof/>
                <w:webHidden/>
                <w:sz w:val="24"/>
                <w:szCs w:val="24"/>
              </w:rPr>
              <w:fldChar w:fldCharType="end"/>
            </w:r>
          </w:hyperlink>
        </w:p>
        <w:p w:rsidR="00E543AE" w:rsidRPr="00E543AE" w:rsidRDefault="00FF2C57">
          <w:pPr>
            <w:pStyle w:val="TDC1"/>
            <w:rPr>
              <w:rFonts w:eastAsiaTheme="minorEastAsia"/>
              <w:b w:val="0"/>
              <w:sz w:val="24"/>
              <w:szCs w:val="24"/>
              <w:lang w:eastAsia="es-MX"/>
            </w:rPr>
          </w:pPr>
          <w:hyperlink w:anchor="_Toc524342052" w:history="1">
            <w:r w:rsidR="00E543AE" w:rsidRPr="00E543AE">
              <w:rPr>
                <w:rStyle w:val="Hipervnculo"/>
                <w:rFonts w:eastAsia="Calibri"/>
                <w:sz w:val="24"/>
                <w:szCs w:val="24"/>
              </w:rPr>
              <w:t>IV. Del Pronunciamiento simple</w:t>
            </w:r>
            <w:r w:rsidR="00E543AE" w:rsidRPr="00E543AE">
              <w:rPr>
                <w:webHidden/>
                <w:sz w:val="24"/>
                <w:szCs w:val="24"/>
              </w:rPr>
              <w:tab/>
            </w:r>
            <w:r w:rsidR="00E543AE" w:rsidRPr="00E543AE">
              <w:rPr>
                <w:webHidden/>
                <w:sz w:val="24"/>
                <w:szCs w:val="24"/>
              </w:rPr>
              <w:fldChar w:fldCharType="begin"/>
            </w:r>
            <w:r w:rsidR="00E543AE" w:rsidRPr="00E543AE">
              <w:rPr>
                <w:webHidden/>
                <w:sz w:val="24"/>
                <w:szCs w:val="24"/>
              </w:rPr>
              <w:instrText xml:space="preserve"> PAGEREF _Toc524342052 \h </w:instrText>
            </w:r>
            <w:r w:rsidR="00E543AE" w:rsidRPr="00E543AE">
              <w:rPr>
                <w:webHidden/>
                <w:sz w:val="24"/>
                <w:szCs w:val="24"/>
              </w:rPr>
            </w:r>
            <w:r w:rsidR="00E543AE" w:rsidRPr="00E543AE">
              <w:rPr>
                <w:webHidden/>
                <w:sz w:val="24"/>
                <w:szCs w:val="24"/>
              </w:rPr>
              <w:fldChar w:fldCharType="separate"/>
            </w:r>
            <w:r w:rsidR="00CF02FE">
              <w:rPr>
                <w:webHidden/>
                <w:sz w:val="24"/>
                <w:szCs w:val="24"/>
              </w:rPr>
              <w:t>9</w:t>
            </w:r>
            <w:r w:rsidR="00E543AE" w:rsidRPr="00E543AE">
              <w:rPr>
                <w:webHidden/>
                <w:sz w:val="24"/>
                <w:szCs w:val="24"/>
              </w:rPr>
              <w:fldChar w:fldCharType="end"/>
            </w:r>
          </w:hyperlink>
        </w:p>
        <w:p w:rsidR="00E543AE" w:rsidRDefault="00FF2C57">
          <w:pPr>
            <w:pStyle w:val="TDC1"/>
            <w:rPr>
              <w:rFonts w:asciiTheme="minorHAnsi" w:eastAsiaTheme="minorEastAsia" w:hAnsiTheme="minorHAnsi"/>
              <w:b w:val="0"/>
              <w:sz w:val="22"/>
              <w:szCs w:val="22"/>
              <w:lang w:eastAsia="es-MX"/>
            </w:rPr>
          </w:pPr>
          <w:hyperlink w:anchor="_Toc524342053" w:history="1">
            <w:r w:rsidR="00E543AE" w:rsidRPr="00E543AE">
              <w:rPr>
                <w:rStyle w:val="Hipervnculo"/>
                <w:rFonts w:eastAsia="Calibri"/>
                <w:sz w:val="24"/>
                <w:szCs w:val="24"/>
              </w:rPr>
              <w:t>V. Conclusión.</w:t>
            </w:r>
            <w:r w:rsidR="00E543AE" w:rsidRPr="00E543AE">
              <w:rPr>
                <w:webHidden/>
                <w:sz w:val="24"/>
                <w:szCs w:val="24"/>
              </w:rPr>
              <w:tab/>
            </w:r>
            <w:r w:rsidR="00E543AE" w:rsidRPr="00E543AE">
              <w:rPr>
                <w:webHidden/>
                <w:sz w:val="24"/>
                <w:szCs w:val="24"/>
              </w:rPr>
              <w:fldChar w:fldCharType="begin"/>
            </w:r>
            <w:r w:rsidR="00E543AE" w:rsidRPr="00E543AE">
              <w:rPr>
                <w:webHidden/>
                <w:sz w:val="24"/>
                <w:szCs w:val="24"/>
              </w:rPr>
              <w:instrText xml:space="preserve"> PAGEREF _Toc524342053 \h </w:instrText>
            </w:r>
            <w:r w:rsidR="00E543AE" w:rsidRPr="00E543AE">
              <w:rPr>
                <w:webHidden/>
                <w:sz w:val="24"/>
                <w:szCs w:val="24"/>
              </w:rPr>
            </w:r>
            <w:r w:rsidR="00E543AE" w:rsidRPr="00E543AE">
              <w:rPr>
                <w:webHidden/>
                <w:sz w:val="24"/>
                <w:szCs w:val="24"/>
              </w:rPr>
              <w:fldChar w:fldCharType="separate"/>
            </w:r>
            <w:r w:rsidR="00CF02FE">
              <w:rPr>
                <w:webHidden/>
                <w:sz w:val="24"/>
                <w:szCs w:val="24"/>
              </w:rPr>
              <w:t>16</w:t>
            </w:r>
            <w:r w:rsidR="00E543AE" w:rsidRPr="00E543AE">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7B0E23">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4342049"/>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8825D2">
        <w:rPr>
          <w:rFonts w:ascii="Palatino Linotype" w:eastAsia="Calibri" w:hAnsi="Palatino Linotype" w:cs="Arial"/>
          <w:sz w:val="24"/>
          <w:szCs w:val="24"/>
        </w:rPr>
        <w:t>Segunda</w:t>
      </w:r>
      <w:r w:rsidR="004D772F">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8825D2">
        <w:rPr>
          <w:rFonts w:ascii="Palatino Linotype" w:eastAsia="Calibri" w:hAnsi="Palatino Linotype" w:cs="Arial"/>
          <w:sz w:val="24"/>
          <w:szCs w:val="24"/>
        </w:rPr>
        <w:t>cinco</w:t>
      </w:r>
      <w:r w:rsidRPr="00427B79">
        <w:rPr>
          <w:rFonts w:ascii="Palatino Linotype" w:eastAsia="Calibri" w:hAnsi="Palatino Linotype" w:cs="Arial"/>
          <w:sz w:val="24"/>
          <w:szCs w:val="24"/>
        </w:rPr>
        <w:t xml:space="preserve"> (</w:t>
      </w:r>
      <w:r w:rsidR="008825D2">
        <w:rPr>
          <w:rFonts w:ascii="Palatino Linotype" w:eastAsia="Calibri" w:hAnsi="Palatino Linotype" w:cs="Arial"/>
          <w:sz w:val="24"/>
          <w:szCs w:val="24"/>
        </w:rPr>
        <w:t>05</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w:t>
      </w:r>
      <w:r w:rsidRPr="00427B79">
        <w:rPr>
          <w:rFonts w:ascii="Palatino Linotype" w:eastAsia="Calibri" w:hAnsi="Palatino Linotype" w:cs="Arial"/>
          <w:sz w:val="24"/>
          <w:szCs w:val="24"/>
        </w:rPr>
        <w:lastRenderedPageBreak/>
        <w:t xml:space="preserve">el recurso de revisión interpuesto </w:t>
      </w:r>
      <w:r w:rsidRPr="00772B4B">
        <w:rPr>
          <w:rFonts w:ascii="Palatino Linotype" w:eastAsia="Calibri" w:hAnsi="Palatino Linotype" w:cs="Arial"/>
          <w:sz w:val="24"/>
          <w:szCs w:val="24"/>
        </w:rPr>
        <w:t>po</w:t>
      </w:r>
      <w:r w:rsidR="000458F1">
        <w:rPr>
          <w:rFonts w:ascii="Palatino Linotype" w:eastAsia="Calibri" w:hAnsi="Palatino Linotype" w:cs="Arial"/>
          <w:sz w:val="24"/>
          <w:szCs w:val="24"/>
        </w:rPr>
        <w:t>r la</w:t>
      </w:r>
      <w:r w:rsidR="000458F1" w:rsidRPr="000458F1">
        <w:rPr>
          <w:rFonts w:ascii="Palatino Linotype" w:hAnsi="Palatino Linotype"/>
          <w:b/>
        </w:rPr>
        <w:t xml:space="preserve"> </w:t>
      </w:r>
      <w:r w:rsidR="002D1CD9" w:rsidRPr="002D1CD9">
        <w:rPr>
          <w:rFonts w:ascii="Palatino Linotype" w:hAnsi="Palatino Linotype"/>
          <w:b/>
          <w:highlight w:val="black"/>
        </w:rPr>
        <w:t>---------------------------------</w:t>
      </w:r>
      <w:bookmarkStart w:id="1" w:name="_GoBack"/>
      <w:bookmarkEnd w:id="1"/>
      <w:r w:rsidR="004C57A6" w:rsidRPr="007D1325">
        <w:rPr>
          <w:rFonts w:ascii="Palatino Linotype" w:hAnsi="Palatino Linotype" w:cs="Arial"/>
          <w:b/>
          <w:sz w:val="24"/>
          <w:szCs w:val="24"/>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0458F1">
        <w:rPr>
          <w:rFonts w:ascii="Palatino Linotype" w:eastAsia="Calibri" w:hAnsi="Palatino Linotype" w:cs="Arial"/>
          <w:sz w:val="24"/>
          <w:szCs w:val="24"/>
        </w:rPr>
        <w:t xml:space="preserve"> la</w:t>
      </w:r>
      <w:r w:rsidR="000458F1" w:rsidRPr="000458F1">
        <w:rPr>
          <w:rFonts w:ascii="Palatino Linotype" w:hAnsi="Palatino Linotype"/>
          <w:b/>
        </w:rPr>
        <w:t xml:space="preserve"> </w:t>
      </w:r>
      <w:r w:rsidR="000458F1" w:rsidRPr="008F36EC">
        <w:rPr>
          <w:rFonts w:ascii="Palatino Linotype" w:hAnsi="Palatino Linotype"/>
          <w:b/>
        </w:rPr>
        <w:t>Universidad Politécnica del Valle de Toluca</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0458F1">
        <w:rPr>
          <w:rFonts w:ascii="Palatino Linotype" w:hAnsi="Palatino Linotype" w:cs="Arial"/>
          <w:b/>
          <w:bCs/>
          <w:sz w:val="23"/>
          <w:szCs w:val="23"/>
        </w:rPr>
        <w:t>687</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0458F1">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4342050"/>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0458F1" w:rsidRPr="008F36EC" w:rsidRDefault="00E6179D" w:rsidP="000458F1">
      <w:pPr>
        <w:spacing w:before="120" w:after="120"/>
        <w:ind w:left="851" w:right="902"/>
        <w:jc w:val="both"/>
        <w:rPr>
          <w:rFonts w:ascii="Palatino Linotype" w:hAnsi="Palatino Linotype"/>
          <w:i/>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10EE4" w:rsidRPr="00510EE4">
        <w:rPr>
          <w:rFonts w:ascii="Palatino Linotype" w:hAnsi="Palatino Linotype" w:cs="Arial"/>
          <w:b/>
          <w:sz w:val="24"/>
          <w:szCs w:val="24"/>
        </w:rPr>
        <w:t xml:space="preserve"> </w:t>
      </w:r>
      <w:r w:rsidR="000458F1">
        <w:rPr>
          <w:rFonts w:ascii="Palatino Linotype" w:hAnsi="Palatino Linotype" w:cs="Arial"/>
          <w:b/>
          <w:sz w:val="24"/>
          <w:szCs w:val="24"/>
        </w:rPr>
        <w:t>la</w:t>
      </w:r>
      <w:r w:rsidR="000458F1" w:rsidRPr="000458F1">
        <w:rPr>
          <w:rFonts w:ascii="Palatino Linotype" w:hAnsi="Palatino Linotype"/>
          <w:b/>
        </w:rPr>
        <w:t xml:space="preserve"> </w:t>
      </w:r>
      <w:r w:rsidR="000458F1" w:rsidRPr="008F36EC">
        <w:rPr>
          <w:rFonts w:ascii="Palatino Linotype" w:hAnsi="Palatino Linotype"/>
          <w:b/>
        </w:rPr>
        <w:t>Universidad Politécnica del Valle de Toluca</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EF3EA6" w:rsidRPr="00EF3EA6">
        <w:rPr>
          <w:rFonts w:ascii="Palatino Linotype" w:hAnsi="Palatino Linotype" w:cs="Arial"/>
          <w:b/>
        </w:rPr>
        <w:t xml:space="preserve"> </w:t>
      </w:r>
      <w:r w:rsidR="00850B8D" w:rsidRPr="00F93BE2">
        <w:rPr>
          <w:rFonts w:ascii="Palatino Linotype" w:eastAsia="Times New Roman" w:hAnsi="Palatino Linotype" w:cs="Times New Roman"/>
          <w:i/>
          <w:lang w:val="es-ES_tradnl" w:eastAsia="es-ES"/>
        </w:rPr>
        <w:t xml:space="preserve"> </w:t>
      </w:r>
      <w:r w:rsidR="000458F1" w:rsidRPr="008F36EC">
        <w:rPr>
          <w:rFonts w:ascii="Palatino Linotype" w:hAnsi="Palatino Linotype" w:cs="Arial"/>
          <w:i/>
        </w:rPr>
        <w:t xml:space="preserve">“Recursos obtenidos de Conacyt y quien los ha tomado en nombre de la universidad, describiendo montos </w:t>
      </w:r>
      <w:r w:rsidR="000458F1" w:rsidRPr="008F36EC">
        <w:rPr>
          <w:rFonts w:ascii="Palatino Linotype" w:hAnsi="Palatino Linotype"/>
          <w:i/>
        </w:rPr>
        <w:t>(Sic)</w:t>
      </w:r>
    </w:p>
    <w:p w:rsidR="00850B8D" w:rsidRPr="008825D2" w:rsidRDefault="00850B8D" w:rsidP="008825D2">
      <w:pPr>
        <w:ind w:left="851" w:right="900"/>
        <w:jc w:val="both"/>
        <w:rPr>
          <w:rFonts w:ascii="Palatino Linotype" w:hAnsi="Palatino Linotype" w:cs="Arial"/>
          <w:b/>
          <w:i/>
        </w:rPr>
      </w:pPr>
    </w:p>
    <w:p w:rsidR="0032240B" w:rsidRPr="00EF21BF" w:rsidRDefault="0032240B" w:rsidP="00EF21BF">
      <w:pPr>
        <w:spacing w:before="120" w:after="120"/>
        <w:ind w:left="851" w:right="899"/>
        <w:jc w:val="both"/>
        <w:rPr>
          <w:rFonts w:ascii="Palatino Linotype" w:hAnsi="Palatino Linotype"/>
          <w:i/>
        </w:rPr>
      </w:pPr>
    </w:p>
    <w:p w:rsidR="00EF3EA6" w:rsidRDefault="00EF3EA6" w:rsidP="00EF3EA6">
      <w:pPr>
        <w:autoSpaceDE w:val="0"/>
        <w:autoSpaceDN w:val="0"/>
        <w:adjustRightInd w:val="0"/>
        <w:ind w:left="851" w:right="900"/>
        <w:jc w:val="both"/>
        <w:rPr>
          <w:rFonts w:ascii="Palatino Linotype" w:hAnsi="Palatino Linotype" w:cs="Arial"/>
          <w:b/>
        </w:rPr>
      </w:pPr>
    </w:p>
    <w:p w:rsidR="000E4D6E" w:rsidRDefault="00E6179D" w:rsidP="000E4D6E">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C752C4">
        <w:rPr>
          <w:rFonts w:ascii="Palatino Linotype" w:eastAsia="Calibri" w:hAnsi="Palatino Linotype" w:cs="Arial"/>
          <w:sz w:val="24"/>
          <w:szCs w:val="24"/>
        </w:rPr>
        <w:t>l</w:t>
      </w:r>
      <w:r w:rsidR="00C752C4" w:rsidRPr="00C752C4">
        <w:rPr>
          <w:rFonts w:ascii="Palatino Linotype" w:eastAsiaTheme="minorEastAsia" w:hAnsi="Palatino Linotype" w:cs="Arial"/>
          <w:b/>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0458F1" w:rsidRPr="000458F1" w:rsidRDefault="00480F5B" w:rsidP="000458F1">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 </w:t>
      </w:r>
      <w:r w:rsidR="00223548" w:rsidRPr="000E4D6E">
        <w:rPr>
          <w:rFonts w:ascii="Palatino Linotype" w:hAnsi="Palatino Linotype" w:cs="Arial"/>
          <w:sz w:val="24"/>
          <w:szCs w:val="24"/>
        </w:rPr>
        <w:t>a</w:t>
      </w:r>
      <w:r w:rsidR="000458F1">
        <w:rPr>
          <w:rFonts w:ascii="Palatino Linotype" w:hAnsi="Palatino Linotype" w:cs="Arial"/>
          <w:sz w:val="24"/>
          <w:szCs w:val="24"/>
        </w:rPr>
        <w:t xml:space="preserve"> </w:t>
      </w:r>
      <w:r w:rsidR="008825D2">
        <w:rPr>
          <w:rFonts w:ascii="Palatino Linotype" w:hAnsi="Palatino Linotype" w:cs="Arial"/>
          <w:sz w:val="24"/>
          <w:szCs w:val="24"/>
        </w:rPr>
        <w:t>l</w:t>
      </w:r>
      <w:r w:rsidR="000458F1">
        <w:rPr>
          <w:rFonts w:ascii="Palatino Linotype" w:hAnsi="Palatino Linotype" w:cs="Arial"/>
          <w:sz w:val="24"/>
          <w:szCs w:val="24"/>
        </w:rPr>
        <w:t>a</w:t>
      </w:r>
      <w:r w:rsidR="00850B8D" w:rsidRPr="000E4D6E">
        <w:rPr>
          <w:rFonts w:ascii="Palatino Linotype" w:hAnsi="Palatino Linotype" w:cs="Arial"/>
          <w:b/>
          <w:sz w:val="24"/>
          <w:szCs w:val="24"/>
        </w:rPr>
        <w:t>,</w:t>
      </w:r>
      <w:r w:rsidR="000458F1" w:rsidRPr="000458F1">
        <w:rPr>
          <w:rFonts w:ascii="Palatino Linotype" w:hAnsi="Palatino Linotype"/>
          <w:b/>
        </w:rPr>
        <w:t xml:space="preserve"> </w:t>
      </w:r>
      <w:r w:rsidR="000458F1" w:rsidRPr="008F36EC">
        <w:rPr>
          <w:rFonts w:ascii="Palatino Linotype" w:hAnsi="Palatino Linotype"/>
          <w:b/>
        </w:rPr>
        <w:t>Universidad Politécnica del Valle de Toluca</w:t>
      </w:r>
      <w:r w:rsidR="00223548" w:rsidRPr="000E4D6E">
        <w:rPr>
          <w:rFonts w:ascii="Palatino Linotype" w:hAnsi="Palatino Linotype" w:cs="Arial"/>
          <w:b/>
          <w:sz w:val="24"/>
          <w:szCs w:val="24"/>
        </w:rPr>
        <w:t xml:space="preserve"> </w:t>
      </w:r>
      <w:r w:rsidR="00D36317" w:rsidRPr="000E4D6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Pr="000E4D6E">
        <w:rPr>
          <w:rFonts w:ascii="Palatino Linotype" w:hAnsi="Palatino Linotype" w:cs="Arial"/>
          <w:b/>
          <w:sz w:val="24"/>
          <w:szCs w:val="24"/>
        </w:rPr>
        <w:t xml:space="preserve">SAIMEX </w:t>
      </w:r>
      <w:r w:rsidRPr="000E4D6E">
        <w:rPr>
          <w:rFonts w:ascii="Palatino Linotype" w:hAnsi="Palatino Linotype" w:cs="Arial"/>
          <w:sz w:val="24"/>
          <w:szCs w:val="24"/>
        </w:rPr>
        <w:t>de</w:t>
      </w:r>
      <w:r w:rsidRPr="000E4D6E">
        <w:rPr>
          <w:rFonts w:ascii="Palatino Linotype" w:hAnsi="Palatino Linotype" w:cs="Arial"/>
          <w:b/>
          <w:sz w:val="24"/>
          <w:szCs w:val="24"/>
        </w:rPr>
        <w:t>:</w:t>
      </w:r>
      <w:r w:rsidR="00510EE4" w:rsidRPr="000E4D6E">
        <w:rPr>
          <w:rFonts w:ascii="Palatino Linotype" w:eastAsia="Times New Roman" w:hAnsi="Palatino Linotype" w:cs="Arial"/>
          <w:i/>
          <w:sz w:val="24"/>
          <w:szCs w:val="24"/>
          <w:lang w:val="es-ES" w:eastAsia="es-ES"/>
        </w:rPr>
        <w:t xml:space="preserve"> </w:t>
      </w:r>
    </w:p>
    <w:p w:rsidR="000458F1" w:rsidRPr="008F36EC" w:rsidRDefault="000458F1" w:rsidP="000458F1">
      <w:pPr>
        <w:spacing w:before="120" w:after="120"/>
        <w:ind w:left="851" w:right="902" w:hanging="142"/>
        <w:jc w:val="both"/>
        <w:rPr>
          <w:rFonts w:ascii="Palatino Linotype" w:eastAsia="Calibri" w:hAnsi="Palatino Linotype" w:cs="Arial"/>
          <w:i/>
        </w:rPr>
      </w:pPr>
      <w:r w:rsidRPr="008F36EC">
        <w:rPr>
          <w:rFonts w:ascii="Palatino Linotype" w:eastAsia="Calibri" w:hAnsi="Palatino Linotype" w:cs="Arial"/>
          <w:i/>
        </w:rPr>
        <w:t xml:space="preserve">“El documento o documentos en donde consten los recursos obtenidos del Consejo Nacional de Ciencia y Tecnología, al mayor grado de desagregación posible en el que se advierta, el servidor público que los ha recibido en nombre de la Universidad Politécnica del Valle de Toluca y en su caso, los montos, durante el periodo comprendido del 15 de junio de 2017 al 15 de junio de 2018. </w:t>
      </w:r>
    </w:p>
    <w:p w:rsidR="000458F1" w:rsidRPr="008F36EC" w:rsidRDefault="000458F1" w:rsidP="000458F1">
      <w:pPr>
        <w:spacing w:before="120" w:after="120"/>
        <w:ind w:left="851" w:right="902"/>
        <w:jc w:val="both"/>
        <w:rPr>
          <w:rFonts w:ascii="Palatino Linotype" w:hAnsi="Palatino Linotype" w:cs="Arial"/>
          <w:i/>
          <w:lang w:eastAsia="es-MX"/>
        </w:rPr>
      </w:pPr>
      <w:r w:rsidRPr="008F36EC">
        <w:rPr>
          <w:rFonts w:ascii="Palatino Linotype" w:hAnsi="Palatino Linotype" w:cs="Arial"/>
          <w:i/>
          <w:lang w:eastAsia="es-MX"/>
        </w:rPr>
        <w:t xml:space="preserve">Debiendo notificar a </w:t>
      </w:r>
      <w:r w:rsidRPr="008F36EC">
        <w:rPr>
          <w:rFonts w:ascii="Palatino Linotype" w:hAnsi="Palatino Linotype"/>
          <w:b/>
          <w:i/>
        </w:rPr>
        <w:t>LA</w:t>
      </w:r>
      <w:r w:rsidRPr="008F36EC">
        <w:rPr>
          <w:rFonts w:ascii="Palatino Linotype" w:hAnsi="Palatino Linotype"/>
          <w:b/>
        </w:rPr>
        <w:t xml:space="preserve"> </w:t>
      </w:r>
      <w:r w:rsidRPr="008F36EC">
        <w:rPr>
          <w:rFonts w:ascii="Palatino Linotype" w:hAnsi="Palatino Linotype" w:cs="Arial"/>
          <w:b/>
          <w:i/>
          <w:lang w:eastAsia="es-MX"/>
        </w:rPr>
        <w:t>RECURRENTE</w:t>
      </w:r>
      <w:r w:rsidRPr="008F36EC">
        <w:rPr>
          <w:rFonts w:ascii="Palatino Linotype" w:hAnsi="Palatino Linotype" w:cs="Arial"/>
          <w:i/>
          <w:lang w:eastAsia="es-MX"/>
        </w:rPr>
        <w:t xml:space="preserve"> el Acuerdo de Clasificación de la información que apruebe el Comité de Transparencia con motivo de la versión pública.</w:t>
      </w:r>
    </w:p>
    <w:p w:rsidR="000458F1" w:rsidRPr="008F36EC" w:rsidRDefault="000458F1" w:rsidP="000458F1">
      <w:pPr>
        <w:spacing w:before="120" w:after="120"/>
        <w:ind w:left="851" w:right="902"/>
        <w:jc w:val="both"/>
        <w:rPr>
          <w:rFonts w:ascii="Palatino Linotype" w:eastAsia="Calibri" w:hAnsi="Palatino Linotype" w:cs="Arial"/>
          <w:i/>
        </w:rPr>
      </w:pPr>
      <w:r w:rsidRPr="008F36EC">
        <w:rPr>
          <w:rFonts w:ascii="Palatino Linotype" w:hAnsi="Palatino Linotype"/>
          <w:bCs/>
          <w:i/>
        </w:rPr>
        <w:t xml:space="preserve">Para el caso de que derivado de la búsqueda exhaustiva no se localice la información, por no haberla generado, poseído o administrado, bastará con hacerlo del conocimiento de </w:t>
      </w:r>
      <w:r w:rsidRPr="008F36EC">
        <w:rPr>
          <w:rFonts w:ascii="Palatino Linotype" w:hAnsi="Palatino Linotype" w:cs="Arial"/>
          <w:b/>
          <w:i/>
        </w:rPr>
        <w:t>LA RECURRENTE</w:t>
      </w:r>
      <w:r w:rsidRPr="008F36EC">
        <w:rPr>
          <w:rFonts w:ascii="Palatino Linotype" w:hAnsi="Palatino Linotype"/>
          <w:i/>
        </w:rPr>
        <w:t>.</w:t>
      </w:r>
      <w:r w:rsidRPr="008F36EC">
        <w:rPr>
          <w:rFonts w:ascii="Palatino Linotype" w:eastAsia="Calibri" w:hAnsi="Palatino Linotype" w:cs="Arial"/>
          <w:i/>
        </w:rPr>
        <w:t>”</w:t>
      </w:r>
    </w:p>
    <w:p w:rsidR="000458F1" w:rsidRDefault="000458F1" w:rsidP="000458F1">
      <w:pPr>
        <w:pStyle w:val="Prrafodelista"/>
        <w:spacing w:before="240" w:after="240" w:line="360" w:lineRule="auto"/>
        <w:ind w:left="0" w:right="142"/>
        <w:jc w:val="both"/>
        <w:rPr>
          <w:rFonts w:ascii="Palatino Linotype" w:eastAsia="Times New Roman" w:hAnsi="Palatino Linotype" w:cs="Arial"/>
          <w:i/>
          <w:sz w:val="24"/>
          <w:szCs w:val="24"/>
          <w:lang w:val="es-ES" w:eastAsia="es-ES"/>
        </w:rPr>
      </w:pPr>
    </w:p>
    <w:p w:rsidR="000E4D6E" w:rsidRPr="000E4D6E" w:rsidRDefault="000E4D6E" w:rsidP="000E4D6E">
      <w:pPr>
        <w:pStyle w:val="Prrafodelista"/>
        <w:rPr>
          <w:rFonts w:ascii="Palatino Linotype" w:eastAsia="Times New Roman" w:hAnsi="Palatino Linotype" w:cs="Arial"/>
          <w:i/>
          <w:sz w:val="24"/>
          <w:szCs w:val="24"/>
          <w:lang w:val="es-ES" w:eastAsia="es-ES"/>
        </w:rPr>
      </w:pPr>
    </w:p>
    <w:p w:rsidR="0032240B" w:rsidRPr="000458F1"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EF21BF">
        <w:rPr>
          <w:rFonts w:ascii="Palatino Linotype" w:eastAsia="Times New Roman" w:hAnsi="Palatino Linotype" w:cs="Arial"/>
          <w:sz w:val="24"/>
        </w:rPr>
        <w:t>a</w:t>
      </w:r>
      <w:r w:rsidR="000458F1">
        <w:rPr>
          <w:rFonts w:ascii="Palatino Linotype" w:eastAsia="Times New Roman" w:hAnsi="Palatino Linotype" w:cs="Arial"/>
          <w:sz w:val="24"/>
        </w:rPr>
        <w:t xml:space="preserve"> </w:t>
      </w:r>
      <w:r w:rsidR="003170B3">
        <w:rPr>
          <w:rFonts w:ascii="Palatino Linotype" w:eastAsia="Times New Roman" w:hAnsi="Palatino Linotype" w:cs="Arial"/>
          <w:sz w:val="24"/>
        </w:rPr>
        <w:t>l</w:t>
      </w:r>
      <w:r w:rsidR="000458F1">
        <w:rPr>
          <w:rFonts w:ascii="Palatino Linotype" w:eastAsia="Times New Roman" w:hAnsi="Palatino Linotype" w:cs="Arial"/>
          <w:sz w:val="24"/>
        </w:rPr>
        <w:t>a</w:t>
      </w:r>
      <w:r w:rsidR="00850B8D">
        <w:rPr>
          <w:rFonts w:ascii="Palatino Linotype" w:eastAsia="Times New Roman" w:hAnsi="Palatino Linotype" w:cs="Arial"/>
          <w:sz w:val="24"/>
        </w:rPr>
        <w:t xml:space="preserve"> </w:t>
      </w:r>
      <w:r w:rsidR="00EF21BF">
        <w:rPr>
          <w:rFonts w:ascii="Palatino Linotype" w:eastAsia="Times New Roman" w:hAnsi="Palatino Linotype" w:cs="Arial"/>
          <w:sz w:val="24"/>
        </w:rPr>
        <w:t xml:space="preserve"> </w:t>
      </w:r>
      <w:r w:rsidR="000458F1">
        <w:rPr>
          <w:rFonts w:ascii="Palatino Linotype" w:eastAsia="Times New Roman" w:hAnsi="Palatino Linotype" w:cs="Arial"/>
          <w:sz w:val="24"/>
        </w:rPr>
        <w:t>información solicitada</w:t>
      </w:r>
      <w:r w:rsidR="003D41BA">
        <w:rPr>
          <w:rFonts w:ascii="Palatino Linotype" w:eastAsia="Times New Roman" w:hAnsi="Palatino Linotype" w:cs="Arial"/>
          <w:sz w:val="24"/>
        </w:rPr>
        <w:t>)</w:t>
      </w:r>
      <w:r w:rsidR="0041189B">
        <w:rPr>
          <w:rFonts w:ascii="Palatino Linotype" w:eastAsia="Times New Roman" w:hAnsi="Palatino Linotype" w:cs="Arial"/>
          <w:sz w:val="24"/>
        </w:rPr>
        <w:t>:</w:t>
      </w:r>
    </w:p>
    <w:p w:rsidR="000458F1" w:rsidRDefault="000458F1" w:rsidP="000458F1">
      <w:pPr>
        <w:pStyle w:val="Prrafodelista"/>
        <w:spacing w:before="240" w:after="240" w:line="360" w:lineRule="auto"/>
        <w:ind w:left="0" w:right="49"/>
        <w:jc w:val="both"/>
        <w:rPr>
          <w:rFonts w:ascii="Palatino Linotype" w:eastAsia="Times New Roman" w:hAnsi="Palatino Linotype" w:cs="Arial"/>
          <w:i/>
          <w:sz w:val="24"/>
        </w:rPr>
      </w:pPr>
    </w:p>
    <w:p w:rsidR="00850B8D" w:rsidRDefault="003170B3" w:rsidP="007A326E">
      <w:pPr>
        <w:pStyle w:val="Prrafodelista"/>
        <w:spacing w:before="240" w:after="240" w:line="360" w:lineRule="auto"/>
        <w:ind w:left="851" w:right="900"/>
        <w:jc w:val="both"/>
        <w:rPr>
          <w:rFonts w:ascii="Palatino Linotype" w:eastAsia="Times New Roman" w:hAnsi="Palatino Linotype" w:cs="Arial"/>
          <w:i/>
          <w:sz w:val="24"/>
        </w:rPr>
      </w:pPr>
      <w:r>
        <w:rPr>
          <w:rFonts w:ascii="Palatino Linotype" w:eastAsia="Times New Roman" w:hAnsi="Palatino Linotype" w:cs="Arial"/>
          <w:i/>
          <w:sz w:val="24"/>
        </w:rPr>
        <w:t xml:space="preserve"> </w:t>
      </w:r>
      <w:r w:rsidR="000458F1" w:rsidRPr="008F36EC">
        <w:rPr>
          <w:rFonts w:ascii="Palatino Linotype" w:hAnsi="Palatino Linotype"/>
          <w:bCs/>
          <w:i/>
        </w:rPr>
        <w:t xml:space="preserve">Para el caso de que derivado de la búsqueda exhaustiva no se localice la información, por no haberla generado, poseído o administrado, bastará con hacerlo del conocimiento de </w:t>
      </w:r>
      <w:r w:rsidR="000458F1" w:rsidRPr="008F36EC">
        <w:rPr>
          <w:rFonts w:ascii="Palatino Linotype" w:hAnsi="Palatino Linotype" w:cs="Arial"/>
          <w:b/>
          <w:i/>
        </w:rPr>
        <w:t>LA RECURRENTE</w:t>
      </w:r>
      <w:r w:rsidR="000458F1" w:rsidRPr="008F36EC">
        <w:rPr>
          <w:rFonts w:ascii="Palatino Linotype" w:hAnsi="Palatino Linotype"/>
          <w:i/>
        </w:rPr>
        <w:t>.</w:t>
      </w:r>
    </w:p>
    <w:p w:rsidR="00E15203" w:rsidRPr="00434E1A"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434205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 xml:space="preserve">Constitución Política del Estado Libre y </w:t>
      </w:r>
      <w:r w:rsidRPr="00427B79">
        <w:rPr>
          <w:rFonts w:ascii="Palatino Linotype" w:eastAsia="Times New Roman" w:hAnsi="Palatino Linotype" w:cs="Arial"/>
          <w:b/>
          <w:sz w:val="24"/>
          <w:szCs w:val="24"/>
        </w:rPr>
        <w:lastRenderedPageBreak/>
        <w:t>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434205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w:t>
      </w:r>
      <w:r w:rsidRPr="0083488C">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4342053"/>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w:t>
      </w:r>
      <w:r w:rsidRPr="00427B79">
        <w:rPr>
          <w:rFonts w:ascii="Palatino Linotype" w:eastAsia="Calibri" w:hAnsi="Palatino Linotype" w:cs="Arial"/>
          <w:sz w:val="24"/>
          <w:szCs w:val="24"/>
        </w:rPr>
        <w:lastRenderedPageBreak/>
        <w:t>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F37337" w:rsidRDefault="00F37337" w:rsidP="00E6179D">
      <w:pPr>
        <w:pStyle w:val="Prrafodelista"/>
        <w:spacing w:before="240" w:after="240" w:line="360" w:lineRule="auto"/>
        <w:ind w:left="0"/>
        <w:jc w:val="both"/>
        <w:rPr>
          <w:rFonts w:ascii="Palatino Linotype" w:hAnsi="Palatino Linotype" w:cs="Arial"/>
          <w:color w:val="000000" w:themeColor="text1"/>
          <w:sz w:val="24"/>
          <w:szCs w:val="24"/>
        </w:rPr>
      </w:pPr>
    </w:p>
    <w:p w:rsidR="00CF02FE" w:rsidRDefault="00CF02FE" w:rsidP="00E6179D">
      <w:pPr>
        <w:pStyle w:val="Prrafodelista"/>
        <w:spacing w:before="240" w:after="240" w:line="360" w:lineRule="auto"/>
        <w:ind w:left="0"/>
        <w:jc w:val="both"/>
        <w:rPr>
          <w:rFonts w:ascii="Palatino Linotype" w:hAnsi="Palatino Linotype" w:cs="Arial"/>
          <w:color w:val="000000" w:themeColor="text1"/>
          <w:sz w:val="24"/>
          <w:szCs w:val="24"/>
        </w:rPr>
      </w:pPr>
    </w:p>
    <w:p w:rsidR="00F37337" w:rsidRPr="00427B79" w:rsidRDefault="00F3733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Default="00A2290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A47" w:rsidRDefault="00056A47" w:rsidP="00E82D3D">
      <w:pPr>
        <w:spacing w:after="0" w:line="240" w:lineRule="auto"/>
      </w:pPr>
      <w:r>
        <w:separator/>
      </w:r>
    </w:p>
  </w:endnote>
  <w:endnote w:type="continuationSeparator" w:id="0">
    <w:p w:rsidR="00056A47" w:rsidRDefault="00056A47"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2C57">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2C57">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A47" w:rsidRDefault="00056A47" w:rsidP="00E82D3D">
      <w:pPr>
        <w:spacing w:after="0" w:line="240" w:lineRule="auto"/>
      </w:pPr>
      <w:r>
        <w:separator/>
      </w:r>
    </w:p>
  </w:footnote>
  <w:footnote w:type="continuationSeparator" w:id="0">
    <w:p w:rsidR="00056A47" w:rsidRDefault="00056A47"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F2C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F2C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F2C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5"/>
  </w:num>
  <w:num w:numId="5">
    <w:abstractNumId w:val="0"/>
  </w:num>
  <w:num w:numId="6">
    <w:abstractNumId w:val="1"/>
  </w:num>
  <w:num w:numId="7">
    <w:abstractNumId w:val="8"/>
  </w:num>
  <w:num w:numId="8">
    <w:abstractNumId w:val="10"/>
  </w:num>
  <w:num w:numId="9">
    <w:abstractNumId w:val="14"/>
  </w:num>
  <w:num w:numId="10">
    <w:abstractNumId w:val="9"/>
  </w:num>
  <w:num w:numId="11">
    <w:abstractNumId w:val="11"/>
  </w:num>
  <w:num w:numId="12">
    <w:abstractNumId w:val="5"/>
  </w:num>
  <w:num w:numId="13">
    <w:abstractNumId w:val="17"/>
  </w:num>
  <w:num w:numId="14">
    <w:abstractNumId w:val="16"/>
  </w:num>
  <w:num w:numId="15">
    <w:abstractNumId w:val="2"/>
  </w:num>
  <w:num w:numId="16">
    <w:abstractNumId w:val="7"/>
  </w:num>
  <w:num w:numId="17">
    <w:abstractNumId w:val="4"/>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837"/>
    <w:rsid w:val="000354F0"/>
    <w:rsid w:val="0003648B"/>
    <w:rsid w:val="000458F1"/>
    <w:rsid w:val="00047D47"/>
    <w:rsid w:val="00050071"/>
    <w:rsid w:val="00051010"/>
    <w:rsid w:val="00056A47"/>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41D8A"/>
    <w:rsid w:val="00252BB6"/>
    <w:rsid w:val="002643E6"/>
    <w:rsid w:val="00270126"/>
    <w:rsid w:val="00273862"/>
    <w:rsid w:val="002A2E8D"/>
    <w:rsid w:val="002A3111"/>
    <w:rsid w:val="002B1FE5"/>
    <w:rsid w:val="002B30C5"/>
    <w:rsid w:val="002C0B0D"/>
    <w:rsid w:val="002C4ACE"/>
    <w:rsid w:val="002D1CD9"/>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556CA"/>
    <w:rsid w:val="005650D9"/>
    <w:rsid w:val="00567957"/>
    <w:rsid w:val="005905A5"/>
    <w:rsid w:val="00590C2D"/>
    <w:rsid w:val="00594E5C"/>
    <w:rsid w:val="005A2F43"/>
    <w:rsid w:val="005C0258"/>
    <w:rsid w:val="005D0118"/>
    <w:rsid w:val="005F30BC"/>
    <w:rsid w:val="005F3E96"/>
    <w:rsid w:val="00611694"/>
    <w:rsid w:val="0061188C"/>
    <w:rsid w:val="00617ACF"/>
    <w:rsid w:val="006319DC"/>
    <w:rsid w:val="00645585"/>
    <w:rsid w:val="006562FF"/>
    <w:rsid w:val="00676187"/>
    <w:rsid w:val="00680533"/>
    <w:rsid w:val="006864CA"/>
    <w:rsid w:val="006A0BDD"/>
    <w:rsid w:val="006B39ED"/>
    <w:rsid w:val="006E22C9"/>
    <w:rsid w:val="006F0A01"/>
    <w:rsid w:val="00715A51"/>
    <w:rsid w:val="00723CDA"/>
    <w:rsid w:val="00730193"/>
    <w:rsid w:val="00740A46"/>
    <w:rsid w:val="00740DA3"/>
    <w:rsid w:val="00744BA1"/>
    <w:rsid w:val="00744F8C"/>
    <w:rsid w:val="00772B4B"/>
    <w:rsid w:val="00773AAF"/>
    <w:rsid w:val="00780F47"/>
    <w:rsid w:val="00786073"/>
    <w:rsid w:val="00797A31"/>
    <w:rsid w:val="007A1EB0"/>
    <w:rsid w:val="007A326E"/>
    <w:rsid w:val="007A4C87"/>
    <w:rsid w:val="007B0E23"/>
    <w:rsid w:val="007B2DD9"/>
    <w:rsid w:val="007D037D"/>
    <w:rsid w:val="007D03AB"/>
    <w:rsid w:val="007D1783"/>
    <w:rsid w:val="007D7732"/>
    <w:rsid w:val="007E48FF"/>
    <w:rsid w:val="00804A5D"/>
    <w:rsid w:val="00806194"/>
    <w:rsid w:val="008076C1"/>
    <w:rsid w:val="00807E40"/>
    <w:rsid w:val="008126FB"/>
    <w:rsid w:val="008216B4"/>
    <w:rsid w:val="008232B6"/>
    <w:rsid w:val="00831B0F"/>
    <w:rsid w:val="0083488C"/>
    <w:rsid w:val="00835C8D"/>
    <w:rsid w:val="00843E5B"/>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96A16"/>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1541E"/>
    <w:rsid w:val="00A22908"/>
    <w:rsid w:val="00A23B00"/>
    <w:rsid w:val="00A245A7"/>
    <w:rsid w:val="00A276D9"/>
    <w:rsid w:val="00A37A86"/>
    <w:rsid w:val="00A42F36"/>
    <w:rsid w:val="00A5179E"/>
    <w:rsid w:val="00A61107"/>
    <w:rsid w:val="00A649E1"/>
    <w:rsid w:val="00A672A5"/>
    <w:rsid w:val="00A717F7"/>
    <w:rsid w:val="00A71FC5"/>
    <w:rsid w:val="00A749B1"/>
    <w:rsid w:val="00A82E8C"/>
    <w:rsid w:val="00A84374"/>
    <w:rsid w:val="00AA0FB7"/>
    <w:rsid w:val="00AC4FE5"/>
    <w:rsid w:val="00AD1BEF"/>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4414"/>
    <w:rsid w:val="00BB488C"/>
    <w:rsid w:val="00BB48A7"/>
    <w:rsid w:val="00BC31E0"/>
    <w:rsid w:val="00BD16B5"/>
    <w:rsid w:val="00C076A9"/>
    <w:rsid w:val="00C1158A"/>
    <w:rsid w:val="00C130B3"/>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2FE"/>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67769"/>
    <w:rsid w:val="00D92BA5"/>
    <w:rsid w:val="00DB39B5"/>
    <w:rsid w:val="00DB53B7"/>
    <w:rsid w:val="00DC4358"/>
    <w:rsid w:val="00DC792E"/>
    <w:rsid w:val="00DD14BB"/>
    <w:rsid w:val="00DE7A32"/>
    <w:rsid w:val="00DF782C"/>
    <w:rsid w:val="00E15203"/>
    <w:rsid w:val="00E27A90"/>
    <w:rsid w:val="00E41E1B"/>
    <w:rsid w:val="00E51DF4"/>
    <w:rsid w:val="00E535E4"/>
    <w:rsid w:val="00E543AE"/>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37337"/>
    <w:rsid w:val="00F41722"/>
    <w:rsid w:val="00F665AF"/>
    <w:rsid w:val="00F72355"/>
    <w:rsid w:val="00F8373B"/>
    <w:rsid w:val="00FA6405"/>
    <w:rsid w:val="00FA79CE"/>
    <w:rsid w:val="00FB274F"/>
    <w:rsid w:val="00FC605B"/>
    <w:rsid w:val="00FD1FAD"/>
    <w:rsid w:val="00FF2C57"/>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0B3"/>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99016-C0B6-4B44-95EF-B3CBABD0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3402</Words>
  <Characters>18714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2018-09-12T19:49:00Z</cp:lastPrinted>
  <dcterms:created xsi:type="dcterms:W3CDTF">2018-10-26T00:26:00Z</dcterms:created>
  <dcterms:modified xsi:type="dcterms:W3CDTF">2018-10-26T00:26:00Z</dcterms:modified>
</cp:coreProperties>
</file>